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AC833C" w:rsidR="00375E67" w:rsidRDefault="00BA4302">
      <w:pPr>
        <w:rPr>
          <w:b/>
        </w:rPr>
      </w:pPr>
      <w:r>
        <w:rPr>
          <w:b/>
        </w:rPr>
        <w:t>Guidance for Cardiothoracic Transplant Centers regarding SARS CoV-2 infection and COVID-19: March 1</w:t>
      </w:r>
      <w:r w:rsidR="00DF3C45">
        <w:rPr>
          <w:b/>
        </w:rPr>
        <w:t>5</w:t>
      </w:r>
      <w:r>
        <w:rPr>
          <w:b/>
        </w:rPr>
        <w:t>, 2020</w:t>
      </w:r>
    </w:p>
    <w:p w14:paraId="00000002" w14:textId="77777777" w:rsidR="00375E67" w:rsidRDefault="00BA4302">
      <w:pPr>
        <w:rPr>
          <w:b/>
        </w:rPr>
      </w:pPr>
      <w:r>
        <w:rPr>
          <w:b/>
        </w:rPr>
        <w:t xml:space="preserve"> </w:t>
      </w:r>
    </w:p>
    <w:p w14:paraId="00000003" w14:textId="155BF548" w:rsidR="00375E67" w:rsidRDefault="00BA4302">
      <w:r>
        <w:t>We convened an international group of ISHLT members representing Infectious Diseases, Pulmonology, Cardiology</w:t>
      </w:r>
      <w:r w:rsidR="008321DE">
        <w:t xml:space="preserve">, </w:t>
      </w:r>
      <w:r>
        <w:t xml:space="preserve">Cardiothoracic </w:t>
      </w:r>
      <w:r w:rsidR="008321DE">
        <w:t>S</w:t>
      </w:r>
      <w:r>
        <w:t>urgery</w:t>
      </w:r>
      <w:r w:rsidR="008321DE">
        <w:t xml:space="preserve"> and Pharmacy</w:t>
      </w:r>
      <w:r>
        <w:t xml:space="preserve"> to discuss frequently asked questions in the setting of the current pandemic</w:t>
      </w:r>
      <w:r w:rsidR="00CB50E9">
        <w:t xml:space="preserve"> caused by SARS-CoV-2 (virus) causing a disease termed COVID-19</w:t>
      </w:r>
      <w:r>
        <w:t>. At this time, there is very scant published information regarding COVID-19 in cardiothoracic transplant recipients. Current guidance is based on clinical experience and will be revised as more data becomes available.</w:t>
      </w:r>
    </w:p>
    <w:p w14:paraId="00000004" w14:textId="77777777" w:rsidR="00375E67" w:rsidRDefault="00BA4302">
      <w:pPr>
        <w:rPr>
          <w:b/>
        </w:rPr>
      </w:pPr>
      <w:r>
        <w:rPr>
          <w:b/>
        </w:rPr>
        <w:t xml:space="preserve"> </w:t>
      </w:r>
    </w:p>
    <w:p w14:paraId="00000005" w14:textId="2F341195" w:rsidR="00375E67" w:rsidRDefault="00BA4302">
      <w:pPr>
        <w:ind w:left="720"/>
        <w:rPr>
          <w:b/>
        </w:rPr>
      </w:pPr>
      <w:r>
        <w:rPr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 xml:space="preserve">Who is at risk of acquiring </w:t>
      </w:r>
      <w:r w:rsidR="00722764">
        <w:rPr>
          <w:b/>
        </w:rPr>
        <w:t>SARS-CoV-2 infection</w:t>
      </w:r>
      <w:r>
        <w:rPr>
          <w:b/>
        </w:rPr>
        <w:t>?</w:t>
      </w:r>
    </w:p>
    <w:p w14:paraId="00000006" w14:textId="4A8632E0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Anyone presenting with one </w:t>
      </w:r>
      <w:r w:rsidR="008321DE">
        <w:t xml:space="preserve">or more </w:t>
      </w:r>
      <w:r>
        <w:t>of these risk factors is at risk of acquiring SARS-CoV-2 infection:</w:t>
      </w:r>
    </w:p>
    <w:p w14:paraId="27E43597" w14:textId="2C398044" w:rsidR="004B1573" w:rsidRDefault="00CB50E9" w:rsidP="004B1573">
      <w:pPr>
        <w:pStyle w:val="ListParagraph"/>
        <w:numPr>
          <w:ilvl w:val="0"/>
          <w:numId w:val="4"/>
        </w:numPr>
      </w:pPr>
      <w:r>
        <w:t xml:space="preserve">Any travel </w:t>
      </w:r>
      <w:r w:rsidR="00BA4302">
        <w:t>or resid</w:t>
      </w:r>
      <w:r>
        <w:t>ence</w:t>
      </w:r>
      <w:r w:rsidR="00BA4302">
        <w:t xml:space="preserve"> in an area in the preceding 14 days, where local SARS-CoV-2 transmission is </w:t>
      </w:r>
      <w:r w:rsidR="008321DE">
        <w:t xml:space="preserve">known to </w:t>
      </w:r>
      <w:r w:rsidR="00BA4302">
        <w:t>occur</w:t>
      </w:r>
      <w:r w:rsidR="008321DE">
        <w:t>.</w:t>
      </w:r>
    </w:p>
    <w:p w14:paraId="00000008" w14:textId="1DF05471" w:rsidR="00375E67" w:rsidRDefault="00BA4302" w:rsidP="004B1573">
      <w:pPr>
        <w:pStyle w:val="ListParagraph"/>
        <w:numPr>
          <w:ilvl w:val="0"/>
          <w:numId w:val="4"/>
        </w:numPr>
      </w:pPr>
      <w:r>
        <w:t>Direct contact with known or suspected case of COVID-19 in the preceding 14 days</w:t>
      </w:r>
    </w:p>
    <w:p w14:paraId="00000009" w14:textId="68023B4E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Severe COVID-19 disease occurs more frequently in patients aged </w:t>
      </w:r>
      <w:r w:rsidR="008321DE">
        <w:t>5</w:t>
      </w:r>
      <w:r>
        <w:t xml:space="preserve">0 years and older and those with comorbidities (cardiovascular disease, diabetes mellitus, chronic respiratory diseases, hypertension, cancer). </w:t>
      </w:r>
      <w:r w:rsidR="00184EFD">
        <w:t>In immunocompetent hosts, s</w:t>
      </w:r>
      <w:r>
        <w:t>evere disease can lead to acute respiratory distress syndrome (ARDS)</w:t>
      </w:r>
      <w:r w:rsidR="008321DE">
        <w:t xml:space="preserve"> </w:t>
      </w:r>
      <w:r>
        <w:t>and later in the course of disease, myocarditis</w:t>
      </w:r>
      <w:r w:rsidR="00184EFD">
        <w:t>.</w:t>
      </w:r>
    </w:p>
    <w:p w14:paraId="0000000A" w14:textId="7777777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At this time, it is unknown if cardiothoracic transplant recipients are at higher risk of acquiring SARS-CoV-2 infection or have higher likelihood of severe disease.</w:t>
      </w:r>
    </w:p>
    <w:p w14:paraId="0000000B" w14:textId="77777777" w:rsidR="00375E67" w:rsidRDefault="00BA4302">
      <w:pPr>
        <w:ind w:left="1080"/>
      </w:pPr>
      <w:r>
        <w:t xml:space="preserve"> </w:t>
      </w:r>
    </w:p>
    <w:p w14:paraId="0000000E" w14:textId="36C91E75" w:rsidR="00375E67" w:rsidRPr="00EB6DC6" w:rsidRDefault="00BA4302" w:rsidP="00EB6DC6">
      <w:pPr>
        <w:ind w:left="720"/>
        <w:rPr>
          <w:b/>
        </w:rPr>
      </w:pPr>
      <w:r>
        <w:rPr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 xml:space="preserve">How can I try to prevent </w:t>
      </w:r>
      <w:r w:rsidR="008321DE">
        <w:rPr>
          <w:b/>
        </w:rPr>
        <w:t xml:space="preserve">infection with SARS-CoV-2 </w:t>
      </w:r>
      <w:r>
        <w:rPr>
          <w:b/>
        </w:rPr>
        <w:t>in my patients?</w:t>
      </w:r>
    </w:p>
    <w:p w14:paraId="0000000F" w14:textId="7C15F209" w:rsidR="00375E67" w:rsidRDefault="008321DE">
      <w:pPr>
        <w:ind w:left="720"/>
      </w:pPr>
      <w:r>
        <w:t xml:space="preserve">If SARS-CoV-2 transmission is </w:t>
      </w:r>
      <w:r w:rsidR="007A39C3">
        <w:t>occurring</w:t>
      </w:r>
      <w:r>
        <w:t xml:space="preserve"> within a communit</w:t>
      </w:r>
      <w:r w:rsidR="00722764">
        <w:t xml:space="preserve">y, </w:t>
      </w:r>
      <w:r w:rsidRPr="008321DE">
        <w:t>and/or patients with COVID-19 are being cared for in their facility, we recommend that transplant center</w:t>
      </w:r>
      <w:r>
        <w:t>s consider m</w:t>
      </w:r>
      <w:r w:rsidR="00BA4302">
        <w:t>inimizing medical facility visits</w:t>
      </w:r>
      <w:r>
        <w:t xml:space="preserve"> by</w:t>
      </w:r>
      <w:r w:rsidR="00BA4302">
        <w:t>:</w:t>
      </w:r>
    </w:p>
    <w:p w14:paraId="00000010" w14:textId="61AF356F" w:rsidR="00375E67" w:rsidRPr="00B17402" w:rsidRDefault="00BA4302">
      <w:pPr>
        <w:ind w:left="1080"/>
      </w:pPr>
      <w:r w:rsidRPr="00B17402">
        <w:t>-</w:t>
      </w:r>
      <w:r w:rsidRPr="00B1740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8321DE" w:rsidRPr="00B17402">
        <w:t>S</w:t>
      </w:r>
      <w:r w:rsidRPr="00B17402">
        <w:t>eeing only essential patients in clinic and reduc</w:t>
      </w:r>
      <w:r w:rsidR="00722764" w:rsidRPr="00B17402">
        <w:t xml:space="preserve">ing </w:t>
      </w:r>
      <w:r w:rsidRPr="00B17402">
        <w:t xml:space="preserve">clinic volume by deferring outpatient visits </w:t>
      </w:r>
      <w:r w:rsidR="00184EFD" w:rsidRPr="00B17402">
        <w:t xml:space="preserve">for </w:t>
      </w:r>
      <w:r w:rsidRPr="00B17402">
        <w:t xml:space="preserve">patients that are clinically well. </w:t>
      </w:r>
      <w:r w:rsidR="008321DE" w:rsidRPr="00B17402">
        <w:t xml:space="preserve">Consider </w:t>
      </w:r>
      <w:r w:rsidR="00786B89" w:rsidRPr="00B17402">
        <w:t>implement</w:t>
      </w:r>
      <w:r w:rsidR="008321DE" w:rsidRPr="00B17402">
        <w:t>ation of</w:t>
      </w:r>
      <w:r w:rsidR="00786B89" w:rsidRPr="00B17402">
        <w:t xml:space="preserve"> telemedicine approaches based on </w:t>
      </w:r>
      <w:r w:rsidR="008321DE" w:rsidRPr="00B17402">
        <w:t>tele</w:t>
      </w:r>
      <w:r w:rsidR="00786B89" w:rsidRPr="00B17402">
        <w:t xml:space="preserve">phone or web contact, as locally available, with the aid of checklists to assess patients and also to screen for </w:t>
      </w:r>
      <w:r w:rsidR="008321DE" w:rsidRPr="00B17402">
        <w:t xml:space="preserve">symptoms consistent with </w:t>
      </w:r>
      <w:r w:rsidR="00786B89" w:rsidRPr="00B17402">
        <w:t>COVID</w:t>
      </w:r>
      <w:r w:rsidR="000D0AF0" w:rsidRPr="00B17402">
        <w:t>-19</w:t>
      </w:r>
      <w:r w:rsidR="008321DE" w:rsidRPr="00B17402">
        <w:t xml:space="preserve">. </w:t>
      </w:r>
      <w:r w:rsidR="00786B89" w:rsidRPr="00B17402">
        <w:t>The remote contact should be noted formally and be part of the patient</w:t>
      </w:r>
      <w:r w:rsidR="00722764" w:rsidRPr="00B17402">
        <w:t>’s</w:t>
      </w:r>
      <w:r w:rsidR="00786B89" w:rsidRPr="00B17402">
        <w:t xml:space="preserve"> clinical chart. </w:t>
      </w:r>
    </w:p>
    <w:p w14:paraId="00000011" w14:textId="1325F90C" w:rsidR="00375E67" w:rsidRPr="00B17402" w:rsidRDefault="00BA4302">
      <w:pPr>
        <w:ind w:left="1080"/>
      </w:pPr>
      <w:r w:rsidRPr="00B17402">
        <w:t>-</w:t>
      </w:r>
      <w:r w:rsidRPr="00B1740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8321DE" w:rsidRPr="00B17402">
        <w:t>P</w:t>
      </w:r>
      <w:r w:rsidR="00184EFD" w:rsidRPr="00B17402">
        <w:t xml:space="preserve">ostponing </w:t>
      </w:r>
      <w:r w:rsidRPr="00B17402">
        <w:t>routine surveillance heart and lung biopsies in patients that are more than 3-6 months from transplantation, have not had a prior episode of rejection, and are clinically stable.</w:t>
      </w:r>
    </w:p>
    <w:p w14:paraId="44AC4AF9" w14:textId="173A4269" w:rsidR="00094761" w:rsidRDefault="00094761">
      <w:pPr>
        <w:ind w:left="1080"/>
      </w:pPr>
      <w:r w:rsidRPr="00B17402">
        <w:t>-</w:t>
      </w:r>
      <w:r w:rsidRPr="00B17402">
        <w:tab/>
        <w:t xml:space="preserve">For patients who will be attending appointments in the clinic or hospital, </w:t>
      </w:r>
      <w:r w:rsidR="00722764" w:rsidRPr="00B17402">
        <w:t xml:space="preserve">consider </w:t>
      </w:r>
      <w:r w:rsidRPr="00B17402">
        <w:t xml:space="preserve">pre-visit </w:t>
      </w:r>
      <w:r w:rsidR="00722764" w:rsidRPr="00B17402">
        <w:t xml:space="preserve">phone calls or other </w:t>
      </w:r>
      <w:r w:rsidRPr="00B17402">
        <w:t xml:space="preserve">contact to </w:t>
      </w:r>
      <w:r w:rsidR="00722764" w:rsidRPr="00B17402">
        <w:t xml:space="preserve">ensure </w:t>
      </w:r>
      <w:r w:rsidRPr="00B17402">
        <w:t>patients do not have current symptoms of COVID-19 and to remind them to alert the transplant program before presenting to the medical facility with active symptoms so they may be appropriately triaged.</w:t>
      </w:r>
      <w:r>
        <w:t xml:space="preserve">  </w:t>
      </w:r>
    </w:p>
    <w:p w14:paraId="3E861142" w14:textId="31E4F973" w:rsidR="00F35947" w:rsidRDefault="00786B89">
      <w:pPr>
        <w:ind w:left="1080"/>
      </w:pPr>
      <w:r>
        <w:lastRenderedPageBreak/>
        <w:t xml:space="preserve">- </w:t>
      </w:r>
      <w:r w:rsidR="008321DE">
        <w:t xml:space="preserve">Screening for symptomatic patients prior to clinic arrival as per </w:t>
      </w:r>
      <w:r>
        <w:t xml:space="preserve">local guidelines and </w:t>
      </w:r>
      <w:r w:rsidR="008321DE">
        <w:t xml:space="preserve">based on local prevalence of </w:t>
      </w:r>
      <w:r>
        <w:t>COVID</w:t>
      </w:r>
      <w:r w:rsidR="00E00EEF">
        <w:t>-</w:t>
      </w:r>
      <w:r>
        <w:t>19</w:t>
      </w:r>
      <w:r w:rsidR="008321DE">
        <w:t xml:space="preserve">. </w:t>
      </w:r>
    </w:p>
    <w:p w14:paraId="00000012" w14:textId="59BF0C33" w:rsidR="00375E67" w:rsidRDefault="00375E67" w:rsidP="00CB50E9"/>
    <w:p w14:paraId="00000013" w14:textId="425DCFFC" w:rsidR="00375E67" w:rsidRDefault="00FA5C7A">
      <w:r>
        <w:t xml:space="preserve"> </w:t>
      </w:r>
      <w:r>
        <w:tab/>
      </w:r>
      <w:r w:rsidR="00BA4302">
        <w:t>Minimizing social interactions in the community:</w:t>
      </w:r>
    </w:p>
    <w:p w14:paraId="00000014" w14:textId="23A7C5E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For patients with </w:t>
      </w:r>
      <w:r w:rsidR="00E3453C">
        <w:t xml:space="preserve">work or other activities </w:t>
      </w:r>
      <w:r>
        <w:t xml:space="preserve">that necessitate interactions with many people, we </w:t>
      </w:r>
      <w:r w:rsidR="00E3453C">
        <w:t xml:space="preserve">recommend </w:t>
      </w:r>
      <w:r>
        <w:t xml:space="preserve">medical leave </w:t>
      </w:r>
      <w:r w:rsidR="00E3453C">
        <w:t xml:space="preserve">or temporary reassignment to non-public facing work in order to </w:t>
      </w:r>
      <w:r>
        <w:t xml:space="preserve">minimize </w:t>
      </w:r>
      <w:r w:rsidR="00E3453C">
        <w:t xml:space="preserve">possible </w:t>
      </w:r>
      <w:r>
        <w:t xml:space="preserve">exposure. </w:t>
      </w:r>
      <w:r w:rsidR="00390B0A">
        <w:t>Work from home is strongly preferred.</w:t>
      </w:r>
    </w:p>
    <w:p w14:paraId="00000015" w14:textId="09C805CE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Basic precautions for transplant recipients and caregivers include staying at home and reducing contact with </w:t>
      </w:r>
      <w:r w:rsidR="00E3453C">
        <w:t>other people as much as possible</w:t>
      </w:r>
      <w:r>
        <w:t xml:space="preserve">. </w:t>
      </w:r>
      <w:r w:rsidR="0086627A">
        <w:t xml:space="preserve">Stringent </w:t>
      </w:r>
      <w:r>
        <w:t>hand hygiene</w:t>
      </w:r>
      <w:r w:rsidR="0086627A">
        <w:t xml:space="preserve"> should be reinforced.</w:t>
      </w:r>
    </w:p>
    <w:p w14:paraId="00000016" w14:textId="254DFC7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Avoid non-essential travel</w:t>
      </w:r>
      <w:r w:rsidR="005A5532">
        <w:t>.</w:t>
      </w:r>
    </w:p>
    <w:p w14:paraId="00000017" w14:textId="77777777" w:rsidR="00375E67" w:rsidRDefault="00BA4302">
      <w:pPr>
        <w:ind w:left="1080"/>
      </w:pPr>
      <w:r>
        <w:t xml:space="preserve"> </w:t>
      </w:r>
    </w:p>
    <w:p w14:paraId="00000018" w14:textId="77777777" w:rsidR="00375E67" w:rsidRDefault="00BA4302">
      <w:pPr>
        <w:ind w:left="720"/>
        <w:rPr>
          <w:b/>
        </w:rPr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>How do I approach a cardiothoracic transplant recipient who has been in contact with someone diagnosed with COVID-19 disease in the past 2 weeks?</w:t>
      </w:r>
    </w:p>
    <w:p w14:paraId="00000019" w14:textId="5CA7B7E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We recommend home quarantine for 2 weeks in asymptomatic patients and testing for SARS-CoV-2 only if symptoms occur (or as per local public health guidelines)</w:t>
      </w:r>
      <w:r w:rsidR="00E3453C">
        <w:t>.</w:t>
      </w:r>
    </w:p>
    <w:p w14:paraId="0000001A" w14:textId="4E2DAB5C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We recommend against </w:t>
      </w:r>
      <w:r w:rsidR="00C61EB6">
        <w:t xml:space="preserve">routine </w:t>
      </w:r>
      <w:r>
        <w:t>testing for SARS-CoV-2 in asymptomatic patients, including when surveillance bronchoscopies are performed</w:t>
      </w:r>
      <w:r w:rsidR="00E3453C">
        <w:t xml:space="preserve"> in lung transplant recipients</w:t>
      </w:r>
      <w:r>
        <w:t>.</w:t>
      </w:r>
    </w:p>
    <w:p w14:paraId="54A43155" w14:textId="77777777" w:rsidR="005A407C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5A407C" w:rsidRPr="005A407C">
        <w:t>We recommend transplant centers performing surveillance biopsies consider deferring viral testing in asymptomatic patients to ensure viral laboratory resources remain available for testing symptomatic patients for SARS-CoV-2 and other viruses.</w:t>
      </w:r>
    </w:p>
    <w:p w14:paraId="0000001C" w14:textId="014F2752" w:rsidR="00375E67" w:rsidRDefault="00BA4302">
      <w:pPr>
        <w:ind w:left="1080"/>
      </w:pPr>
      <w:r>
        <w:t xml:space="preserve"> </w:t>
      </w:r>
    </w:p>
    <w:p w14:paraId="0000001D" w14:textId="6F2C45C9" w:rsidR="00375E67" w:rsidRDefault="00BA4302">
      <w:pPr>
        <w:ind w:left="720"/>
        <w:rPr>
          <w:b/>
        </w:rPr>
      </w:pPr>
      <w:r>
        <w:rPr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 xml:space="preserve">How do I approach management of a cardiothoracic transplant recipient with </w:t>
      </w:r>
      <w:r w:rsidR="009773D8">
        <w:rPr>
          <w:b/>
        </w:rPr>
        <w:t xml:space="preserve">confirmed </w:t>
      </w:r>
      <w:r>
        <w:rPr>
          <w:b/>
        </w:rPr>
        <w:t>COVID-19?</w:t>
      </w:r>
    </w:p>
    <w:p w14:paraId="0000001E" w14:textId="3F8D5EB0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Patients with respiratory symptoms should </w:t>
      </w:r>
      <w:r w:rsidR="00E3453C">
        <w:t>have</w:t>
      </w:r>
      <w:r>
        <w:t xml:space="preserve"> chest imaging</w:t>
      </w:r>
      <w:r w:rsidR="00E3453C">
        <w:t xml:space="preserve">, preferably chest </w:t>
      </w:r>
      <w:r w:rsidR="00722764">
        <w:t>computed tomography (CT)</w:t>
      </w:r>
      <w:r w:rsidR="00E3453C">
        <w:t xml:space="preserve"> when available.</w:t>
      </w:r>
    </w:p>
    <w:p w14:paraId="0000001F" w14:textId="7777777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Patients should be assessed for treatment based on disease severity:</w:t>
      </w:r>
    </w:p>
    <w:p w14:paraId="00000020" w14:textId="33430E28" w:rsidR="00375E67" w:rsidRDefault="00BA4302">
      <w:pPr>
        <w:ind w:left="18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E3453C">
        <w:t>For m</w:t>
      </w:r>
      <w:r>
        <w:t>ild disease</w:t>
      </w:r>
      <w:r w:rsidR="00E3453C">
        <w:t xml:space="preserve">, we recommend </w:t>
      </w:r>
      <w:r>
        <w:t xml:space="preserve">quarantine at home with frequent follow-up via </w:t>
      </w:r>
      <w:r w:rsidR="00E3453C">
        <w:t>telehealth modalities</w:t>
      </w:r>
      <w:r>
        <w:t xml:space="preserve">. Based on </w:t>
      </w:r>
      <w:r w:rsidR="008F59C2">
        <w:t xml:space="preserve">anecdotal </w:t>
      </w:r>
      <w:r>
        <w:t>experience, we suggest continuing maintenance immunosuppression.</w:t>
      </w:r>
    </w:p>
    <w:p w14:paraId="00000021" w14:textId="7507F4EF" w:rsidR="00375E67" w:rsidRDefault="00BA4302">
      <w:pPr>
        <w:ind w:left="18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E3453C">
        <w:t>For m</w:t>
      </w:r>
      <w:r>
        <w:t>oderate and severe disease</w:t>
      </w:r>
      <w:r w:rsidR="00E3453C">
        <w:t>, we recommend admission and assessment for</w:t>
      </w:r>
      <w:r>
        <w:t xml:space="preserve"> treatment</w:t>
      </w:r>
      <w:r w:rsidR="00BF1714">
        <w:t xml:space="preserve"> though evidence is anecdotal.</w:t>
      </w:r>
    </w:p>
    <w:p w14:paraId="00000022" w14:textId="0876E7CB" w:rsidR="00375E67" w:rsidRDefault="00BA4302" w:rsidP="00FA5C7A">
      <w:pPr>
        <w:pStyle w:val="ListParagraph"/>
        <w:numPr>
          <w:ilvl w:val="0"/>
          <w:numId w:val="6"/>
        </w:numPr>
      </w:pPr>
      <w:r>
        <w:t xml:space="preserve">Consider holding mycophenolate </w:t>
      </w:r>
      <w:proofErr w:type="spellStart"/>
      <w:r>
        <w:t>mofetil</w:t>
      </w:r>
      <w:proofErr w:type="spellEnd"/>
      <w:r w:rsidR="00E3453C">
        <w:t xml:space="preserve"> or azathioprine</w:t>
      </w:r>
      <w:r>
        <w:t xml:space="preserve"> while admitte</w:t>
      </w:r>
      <w:r w:rsidR="00BF1714">
        <w:t>d</w:t>
      </w:r>
      <w:r w:rsidR="00C308CF">
        <w:t xml:space="preserve"> with severe/critical illness</w:t>
      </w:r>
      <w:r w:rsidR="00AD10F3">
        <w:t xml:space="preserve"> (with close monitoring for rejection)</w:t>
      </w:r>
      <w:r w:rsidR="00BF1714">
        <w:t xml:space="preserve"> </w:t>
      </w:r>
    </w:p>
    <w:p w14:paraId="0000002D" w14:textId="6F82DC14" w:rsidR="00375E67" w:rsidRDefault="00BA4302" w:rsidP="00F741B5">
      <w:pPr>
        <w:pStyle w:val="ListParagraph"/>
        <w:numPr>
          <w:ilvl w:val="0"/>
          <w:numId w:val="6"/>
        </w:numPr>
      </w:pPr>
      <w:r>
        <w:t>Consider therapy based on drug availability and disease severity</w:t>
      </w:r>
      <w:r w:rsidR="004F567D">
        <w:t xml:space="preserve">. </w:t>
      </w:r>
      <w:r>
        <w:t xml:space="preserve">Several drugs </w:t>
      </w:r>
      <w:r w:rsidR="00FF7057">
        <w:t xml:space="preserve">have been </w:t>
      </w:r>
      <w:r>
        <w:t xml:space="preserve">used with </w:t>
      </w:r>
      <w:r w:rsidR="004F567D">
        <w:t xml:space="preserve">some </w:t>
      </w:r>
      <w:r>
        <w:t xml:space="preserve">success in </w:t>
      </w:r>
      <w:r w:rsidR="00CB50E9">
        <w:t xml:space="preserve">non-transplant </w:t>
      </w:r>
      <w:r w:rsidR="009773D8">
        <w:t xml:space="preserve">patients with COVID-19 </w:t>
      </w:r>
      <w:r>
        <w:t xml:space="preserve">and there are ongoing trials investigating a variety of agents. </w:t>
      </w:r>
      <w:r w:rsidR="00FF7057">
        <w:t>Some of these</w:t>
      </w:r>
      <w:r>
        <w:t xml:space="preserve"> drugs may be available on a compassionate use basis from the manufacturer</w:t>
      </w:r>
      <w:r w:rsidR="00FF7057">
        <w:t xml:space="preserve"> as well</w:t>
      </w:r>
      <w:r w:rsidR="00CB50E9">
        <w:t xml:space="preserve">. At this time, evidence for and against such agents remains </w:t>
      </w:r>
      <w:r w:rsidR="00CB50E9">
        <w:lastRenderedPageBreak/>
        <w:t xml:space="preserve">weak and </w:t>
      </w:r>
      <w:r w:rsidR="003C7561">
        <w:t xml:space="preserve">mostly </w:t>
      </w:r>
      <w:r w:rsidR="00FA5C7A">
        <w:t>anecdotal</w:t>
      </w:r>
      <w:r w:rsidR="003C7561">
        <w:t>.</w:t>
      </w:r>
      <w:r w:rsidR="00FF7057">
        <w:t xml:space="preserve"> </w:t>
      </w:r>
      <w:r w:rsidR="00A7679D">
        <w:t xml:space="preserve">Drugs that can be considered for treatment of COVID-19 </w:t>
      </w:r>
      <w:r w:rsidR="004F567D">
        <w:t xml:space="preserve">in transplant recipients </w:t>
      </w:r>
      <w:r w:rsidR="00A7679D">
        <w:t xml:space="preserve">include chloroquine, hydroxychloroquine, </w:t>
      </w:r>
      <w:proofErr w:type="gramStart"/>
      <w:r w:rsidR="00A7679D">
        <w:t>intravenous</w:t>
      </w:r>
      <w:proofErr w:type="gramEnd"/>
      <w:r w:rsidR="00A7679D">
        <w:t xml:space="preserve"> immune globulin</w:t>
      </w:r>
      <w:r w:rsidR="004F567D">
        <w:t xml:space="preserve">, </w:t>
      </w:r>
      <w:r w:rsidR="00A7679D">
        <w:t xml:space="preserve">convalescent serum from persons recovered from COVID-19, </w:t>
      </w:r>
      <w:proofErr w:type="spellStart"/>
      <w:r w:rsidR="008906A9">
        <w:t>remdesivir</w:t>
      </w:r>
      <w:proofErr w:type="spellEnd"/>
      <w:r w:rsidR="008906A9">
        <w:t xml:space="preserve">, </w:t>
      </w:r>
      <w:r w:rsidR="00A7679D">
        <w:t>high dose steroid</w:t>
      </w:r>
      <w:r w:rsidR="004F567D">
        <w:t>s</w:t>
      </w:r>
      <w:r w:rsidR="00A7679D">
        <w:t>, and toc</w:t>
      </w:r>
      <w:r w:rsidR="005E3EC2">
        <w:t>i</w:t>
      </w:r>
      <w:r w:rsidR="00A7679D">
        <w:t xml:space="preserve">lizumab. The latter 2 drugs have been used with some success in the setting of ARDS. </w:t>
      </w:r>
      <w:r w:rsidR="00F741B5">
        <w:t xml:space="preserve">We recommend </w:t>
      </w:r>
      <w:r w:rsidR="007A39C3">
        <w:t xml:space="preserve">caution if considering the </w:t>
      </w:r>
      <w:r w:rsidR="00F741B5">
        <w:t xml:space="preserve">use of </w:t>
      </w:r>
      <w:proofErr w:type="spellStart"/>
      <w:r w:rsidR="00F741B5">
        <w:t>lopinavir</w:t>
      </w:r>
      <w:proofErr w:type="spellEnd"/>
      <w:r w:rsidR="00F741B5">
        <w:t xml:space="preserve">/ritonavir, </w:t>
      </w:r>
      <w:proofErr w:type="spellStart"/>
      <w:r w:rsidR="00F741B5">
        <w:t>darunavir</w:t>
      </w:r>
      <w:proofErr w:type="spellEnd"/>
      <w:r w:rsidR="00F741B5">
        <w:t xml:space="preserve">/ritonavir and </w:t>
      </w:r>
      <w:proofErr w:type="spellStart"/>
      <w:r w:rsidR="00F741B5">
        <w:t>darunavir</w:t>
      </w:r>
      <w:proofErr w:type="spellEnd"/>
      <w:r w:rsidR="00F741B5">
        <w:t>/</w:t>
      </w:r>
      <w:proofErr w:type="spellStart"/>
      <w:r w:rsidR="00F741B5">
        <w:t>cobicistat</w:t>
      </w:r>
      <w:proofErr w:type="spellEnd"/>
      <w:r w:rsidR="00F741B5">
        <w:t xml:space="preserve"> due to known significant drug-drug interactions with immunosuppressive medications.</w:t>
      </w:r>
    </w:p>
    <w:p w14:paraId="0000002E" w14:textId="5A3D7AB1" w:rsidR="00375E67" w:rsidRDefault="00CB50E9">
      <w:pPr>
        <w:ind w:left="1080"/>
      </w:pPr>
      <w:r>
        <w:t xml:space="preserve">- </w:t>
      </w:r>
      <w:r w:rsidR="00BA4302">
        <w:t>Centers may develop local guidelines on criteria for proceeding with extracorporeal membrane oxygenation (ECMO) use in carefully selected patients based on availability of ECMO and availability of critical care resources.</w:t>
      </w:r>
    </w:p>
    <w:p w14:paraId="0000002F" w14:textId="43E93214" w:rsidR="00375E67" w:rsidRDefault="00CB50E9">
      <w:pPr>
        <w:ind w:left="1080"/>
      </w:pPr>
      <w:r>
        <w:t xml:space="preserve">- </w:t>
      </w:r>
      <w:r w:rsidR="00BA4302">
        <w:t>Information on COVID-19 related clinical trials can be found at the World Health Organization International Clinical Trials Registry Platform at</w:t>
      </w:r>
      <w:hyperlink r:id="rId7">
        <w:r w:rsidR="00BA4302">
          <w:t xml:space="preserve"> </w:t>
        </w:r>
      </w:hyperlink>
      <w:hyperlink r:id="rId8">
        <w:r w:rsidR="00BA4302">
          <w:rPr>
            <w:color w:val="1155CC"/>
            <w:u w:val="single"/>
          </w:rPr>
          <w:t>http://apps.who.int/trialsearch/default.aspx</w:t>
        </w:r>
      </w:hyperlink>
      <w:r w:rsidR="00BA4302">
        <w:t>.</w:t>
      </w:r>
    </w:p>
    <w:p w14:paraId="00000030" w14:textId="77777777" w:rsidR="00375E67" w:rsidRDefault="00BA4302">
      <w:pPr>
        <w:ind w:left="1080"/>
      </w:pPr>
      <w:r>
        <w:t xml:space="preserve"> </w:t>
      </w:r>
    </w:p>
    <w:p w14:paraId="00000031" w14:textId="4BC59F81" w:rsidR="00375E67" w:rsidRDefault="00CB4321">
      <w:pPr>
        <w:ind w:left="1080"/>
        <w:rPr>
          <w:b/>
        </w:rPr>
      </w:pPr>
      <w:r>
        <w:rPr>
          <w:b/>
        </w:rPr>
        <w:t xml:space="preserve">5. </w:t>
      </w:r>
      <w:r w:rsidR="00BA4302">
        <w:rPr>
          <w:b/>
        </w:rPr>
        <w:t>Can my patient with end stage heart/lung disease be transplanted during this pandemic?</w:t>
      </w:r>
    </w:p>
    <w:p w14:paraId="00000032" w14:textId="590DEC93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We suggest proceeding with transplant</w:t>
      </w:r>
      <w:r w:rsidR="009773D8">
        <w:t>ation</w:t>
      </w:r>
      <w:r>
        <w:t xml:space="preserve"> in the absence of recent exposure as well as absence of symptoms compatible with COVID-19 in the previous 2 weeks. </w:t>
      </w:r>
      <w:r w:rsidR="00B56462" w:rsidRPr="00B56462">
        <w:t xml:space="preserve"> Although the risk of a false negative remains, if timing </w:t>
      </w:r>
      <w:r w:rsidR="00B56462">
        <w:t xml:space="preserve">and testing availability </w:t>
      </w:r>
      <w:r w:rsidR="00B56462" w:rsidRPr="00B56462">
        <w:t>allows</w:t>
      </w:r>
      <w:r w:rsidR="00C308CF">
        <w:t xml:space="preserve">, </w:t>
      </w:r>
      <w:r w:rsidR="00B56462" w:rsidRPr="00B56462">
        <w:t xml:space="preserve">we suggest </w:t>
      </w:r>
      <w:r w:rsidR="00C308CF">
        <w:t xml:space="preserve">PCR-based test for </w:t>
      </w:r>
      <w:r w:rsidR="00B56462" w:rsidRPr="00B56462">
        <w:t>SARS-CoV-2 be performed prior to transplant on patients for whom an organ is accepted</w:t>
      </w:r>
      <w:r w:rsidR="00B56462">
        <w:t>.</w:t>
      </w:r>
    </w:p>
    <w:p w14:paraId="00000033" w14:textId="77777777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If proceeding with transplantation, current experience does not suggest a change in induction protocols with ongoing use of lymphocyte depleting agents if indicated.</w:t>
      </w:r>
    </w:p>
    <w:p w14:paraId="00000034" w14:textId="0D02282B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For patients </w:t>
      </w:r>
      <w:r w:rsidR="009773D8">
        <w:t xml:space="preserve">who </w:t>
      </w:r>
      <w:r>
        <w:t>have recovered from COVID-19, we recommend waiting 14 days after initial diagnosis AND two successive negative PCR-based tests a week apart PRIOR to transplantation</w:t>
      </w:r>
      <w:r w:rsidR="00C61EB6">
        <w:t xml:space="preserve"> (see WHO recommendation on how to define a negative case)</w:t>
      </w:r>
      <w:r>
        <w:t>.</w:t>
      </w:r>
    </w:p>
    <w:p w14:paraId="00000035" w14:textId="19FEFE2D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We </w:t>
      </w:r>
      <w:r w:rsidR="009773D8">
        <w:t>recommend for</w:t>
      </w:r>
      <w:r w:rsidR="00C709C6">
        <w:t>e</w:t>
      </w:r>
      <w:r w:rsidR="009773D8">
        <w:t xml:space="preserve">going transplantation if </w:t>
      </w:r>
      <w:r>
        <w:t>a patient has a positive PCR-based test for SARS-CoV-2.</w:t>
      </w:r>
    </w:p>
    <w:p w14:paraId="00000036" w14:textId="682133F5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For patients with COVID-19 requiring ECMO, </w:t>
      </w:r>
      <w:r w:rsidR="00261A16">
        <w:t xml:space="preserve">lung </w:t>
      </w:r>
      <w:r>
        <w:t xml:space="preserve">transplant </w:t>
      </w:r>
      <w:r w:rsidR="00390B0A">
        <w:t xml:space="preserve">consideration should be </w:t>
      </w:r>
      <w:r>
        <w:t xml:space="preserve">with grave caution </w:t>
      </w:r>
      <w:r w:rsidR="009773D8">
        <w:t xml:space="preserve">and </w:t>
      </w:r>
      <w:r w:rsidR="00390B0A">
        <w:t xml:space="preserve">if done at all, </w:t>
      </w:r>
      <w:r w:rsidR="009773D8">
        <w:t xml:space="preserve">only </w:t>
      </w:r>
      <w:r>
        <w:t>in carefully selected cases</w:t>
      </w:r>
      <w:r w:rsidR="009773D8">
        <w:t xml:space="preserve"> </w:t>
      </w:r>
      <w:r>
        <w:t>in the setting of two negative PCR based tests a week apart</w:t>
      </w:r>
      <w:r w:rsidR="00261A16">
        <w:t xml:space="preserve"> and absence of </w:t>
      </w:r>
      <w:r w:rsidR="007A39C3">
        <w:t>myocarditis</w:t>
      </w:r>
      <w:r w:rsidR="00261A16">
        <w:t>.</w:t>
      </w:r>
    </w:p>
    <w:p w14:paraId="00000037" w14:textId="2E19C60C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A839C7">
        <w:t xml:space="preserve">Considerations regarding non-urgent transplantation should be made on a local center level based on rate of SARS-CoV-2 infection in the community and </w:t>
      </w:r>
      <w:r w:rsidR="001F1F82">
        <w:t xml:space="preserve">availability </w:t>
      </w:r>
      <w:r w:rsidR="005B4596">
        <w:t xml:space="preserve">of </w:t>
      </w:r>
      <w:r w:rsidR="00A839C7">
        <w:t>health care resources</w:t>
      </w:r>
      <w:r w:rsidR="000323D4">
        <w:t xml:space="preserve">; this </w:t>
      </w:r>
      <w:r w:rsidR="00A839C7">
        <w:t>should be continually reasses</w:t>
      </w:r>
      <w:r w:rsidR="005B4596">
        <w:t>sed</w:t>
      </w:r>
      <w:r w:rsidR="00A839C7">
        <w:t xml:space="preserve"> as conditions evolve. </w:t>
      </w:r>
    </w:p>
    <w:p w14:paraId="00000038" w14:textId="77777777" w:rsidR="00375E67" w:rsidRDefault="00BA4302">
      <w:pPr>
        <w:ind w:left="1080"/>
      </w:pPr>
      <w:r>
        <w:t xml:space="preserve"> </w:t>
      </w:r>
    </w:p>
    <w:p w14:paraId="00000039" w14:textId="4250D231" w:rsidR="00375E67" w:rsidRDefault="00DE7430">
      <w:pPr>
        <w:ind w:left="1080"/>
        <w:rPr>
          <w:b/>
        </w:rPr>
      </w:pPr>
      <w:r>
        <w:rPr>
          <w:b/>
        </w:rPr>
        <w:t xml:space="preserve">6. </w:t>
      </w:r>
      <w:r w:rsidR="00BA4302">
        <w:rPr>
          <w:b/>
        </w:rPr>
        <w:t>How does the COVID-19 pandemic affect donor selection?</w:t>
      </w:r>
    </w:p>
    <w:p w14:paraId="158CEAE4" w14:textId="7DBBE39B" w:rsidR="00B214C9" w:rsidRDefault="00B214C9" w:rsidP="00B214C9">
      <w:pPr>
        <w:ind w:left="1080"/>
      </w:pPr>
      <w:r w:rsidRPr="00B214C9">
        <w:t xml:space="preserve">Transmission of </w:t>
      </w:r>
      <w:r>
        <w:t xml:space="preserve">SAR-CoV-2 </w:t>
      </w:r>
      <w:r w:rsidRPr="00B214C9">
        <w:t>from donor to recipient has not been reported as of yet but can be assumed to be possibl</w:t>
      </w:r>
      <w:r>
        <w:t>e.</w:t>
      </w:r>
    </w:p>
    <w:p w14:paraId="13E63378" w14:textId="05F14FBE" w:rsidR="009919D3" w:rsidRPr="00B214C9" w:rsidRDefault="00BA4302" w:rsidP="00B214C9">
      <w:pPr>
        <w:ind w:left="1080"/>
        <w:rPr>
          <w:rFonts w:ascii="Times New Roman" w:eastAsia="Times New Roman" w:hAnsi="Times New Roman" w:cs="Times New Roman"/>
          <w:sz w:val="14"/>
          <w:szCs w:val="14"/>
        </w:rPr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B7056B">
        <w:t>W</w:t>
      </w:r>
      <w:r w:rsidR="009919D3">
        <w:t xml:space="preserve">hile the eventual goal would be to have all donors screened for SARS-CoV-2, screening should be calibrated to </w:t>
      </w:r>
      <w:r w:rsidR="00C22080">
        <w:t>availability</w:t>
      </w:r>
      <w:r w:rsidR="009919D3">
        <w:t xml:space="preserve"> of testing and incidence of COVID-19 </w:t>
      </w:r>
      <w:r w:rsidR="009919D3">
        <w:lastRenderedPageBreak/>
        <w:t xml:space="preserve">cases. </w:t>
      </w:r>
      <w:r w:rsidR="001525D3">
        <w:t xml:space="preserve">Additionally, </w:t>
      </w:r>
      <w:r w:rsidR="007A39C3">
        <w:t xml:space="preserve">the </w:t>
      </w:r>
      <w:r w:rsidR="001525D3">
        <w:t xml:space="preserve">false negative rate of testing, especially in asymptomatic individuals is unclear at this time. </w:t>
      </w:r>
    </w:p>
    <w:p w14:paraId="0000003A" w14:textId="50FBA0F4" w:rsidR="00375E67" w:rsidRDefault="009919D3">
      <w:pPr>
        <w:ind w:left="1080"/>
      </w:pPr>
      <w:r>
        <w:t xml:space="preserve">- In case donor testing is available, we </w:t>
      </w:r>
      <w:r w:rsidR="00BA4302">
        <w:t>recommend</w:t>
      </w:r>
      <w:r w:rsidR="00912D30">
        <w:t xml:space="preserve"> </w:t>
      </w:r>
      <w:r w:rsidR="00BA4302">
        <w:t>PCR-based donor testing for SARS-CoV-2 by nasopharyngeal/ oropharyngeal swabs</w:t>
      </w:r>
      <w:r w:rsidR="00912D30">
        <w:t xml:space="preserve"> or </w:t>
      </w:r>
      <w:proofErr w:type="spellStart"/>
      <w:r w:rsidR="00912D30">
        <w:t>bronchoalveolar</w:t>
      </w:r>
      <w:proofErr w:type="spellEnd"/>
      <w:r w:rsidR="00912D30">
        <w:t xml:space="preserve"> lavage fluid</w:t>
      </w:r>
      <w:r w:rsidR="00BA4302">
        <w:t xml:space="preserve"> and to avoid transplantation from positive donors.</w:t>
      </w:r>
    </w:p>
    <w:p w14:paraId="0000003B" w14:textId="6C3BE4DA" w:rsidR="00375E67" w:rsidRDefault="00BA4302">
      <w:pPr>
        <w:ind w:left="108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If donor testing is not available, </w:t>
      </w:r>
      <w:r w:rsidR="00912D30">
        <w:t xml:space="preserve">as is the case in many areas currently, </w:t>
      </w:r>
      <w:r>
        <w:t>we recommend avoiding donors with a history of:</w:t>
      </w:r>
    </w:p>
    <w:p w14:paraId="0000003C" w14:textId="54204621" w:rsidR="00375E67" w:rsidRDefault="00BA4302">
      <w:pPr>
        <w:ind w:left="18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Travel to or residing in an area in the preceding 14 days, where local SARS-CoV-2 transmission is occurring</w:t>
      </w:r>
    </w:p>
    <w:p w14:paraId="0000003D" w14:textId="77777777" w:rsidR="00375E67" w:rsidRDefault="00BA4302">
      <w:pPr>
        <w:ind w:left="18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Exposure to a confirmed or probable case of COVID-19 within past 14 days</w:t>
      </w:r>
    </w:p>
    <w:p w14:paraId="0000003E" w14:textId="77777777" w:rsidR="00375E67" w:rsidRDefault="00BA4302">
      <w:pPr>
        <w:ind w:left="18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Compatible clinical syndrome regardless of known exposure within the past 14 days</w:t>
      </w:r>
    </w:p>
    <w:p w14:paraId="0000003F" w14:textId="77777777" w:rsidR="00375E67" w:rsidRDefault="00BA4302">
      <w:r>
        <w:t xml:space="preserve"> </w:t>
      </w:r>
    </w:p>
    <w:p w14:paraId="00000040" w14:textId="372F8645" w:rsidR="00375E67" w:rsidRDefault="00BA4302">
      <w:r>
        <w:t xml:space="preserve">We </w:t>
      </w:r>
      <w:r w:rsidR="00824E4E">
        <w:t xml:space="preserve">request </w:t>
      </w:r>
      <w:r w:rsidR="005F7124">
        <w:t xml:space="preserve">that all centers performing heart </w:t>
      </w:r>
      <w:r w:rsidR="00EE7C24">
        <w:t>and/</w:t>
      </w:r>
      <w:r w:rsidR="005F7124">
        <w:t>or lung</w:t>
      </w:r>
      <w:r w:rsidR="00D820AA">
        <w:t xml:space="preserve"> </w:t>
      </w:r>
      <w:r w:rsidR="005F7124">
        <w:t>transpla</w:t>
      </w:r>
      <w:r w:rsidR="00CF6CEF">
        <w:t>n</w:t>
      </w:r>
      <w:r w:rsidR="005F7124">
        <w:t xml:space="preserve">tation collect key data of the course of disease in recipients who </w:t>
      </w:r>
      <w:r w:rsidR="00EE7C24">
        <w:t xml:space="preserve">develop </w:t>
      </w:r>
      <w:r w:rsidR="005F7124">
        <w:t>COVID-19</w:t>
      </w:r>
      <w:r w:rsidR="00EE7C24">
        <w:t xml:space="preserve">. </w:t>
      </w:r>
      <w:r w:rsidR="005F7124">
        <w:t xml:space="preserve">These data </w:t>
      </w:r>
      <w:r w:rsidR="00CF6CEF">
        <w:t>sh</w:t>
      </w:r>
      <w:r w:rsidR="005F7124">
        <w:t xml:space="preserve">ould at a minimum </w:t>
      </w:r>
      <w:r w:rsidR="007B54DF">
        <w:t xml:space="preserve">should </w:t>
      </w:r>
      <w:r w:rsidR="005F7124">
        <w:t>include: gender and age, transplant date, date of proven CO</w:t>
      </w:r>
      <w:r w:rsidR="00CF6CEF">
        <w:t>V</w:t>
      </w:r>
      <w:r w:rsidR="005F7124">
        <w:t xml:space="preserve">ID-19 infection, date of hospital admission, date of organ replacement therapy or </w:t>
      </w:r>
      <w:proofErr w:type="spellStart"/>
      <w:r w:rsidR="005F7124">
        <w:t>ventilatory</w:t>
      </w:r>
      <w:proofErr w:type="spellEnd"/>
      <w:r w:rsidR="005F7124">
        <w:t xml:space="preserve"> support, </w:t>
      </w:r>
      <w:r w:rsidR="00CF6CEF">
        <w:t xml:space="preserve">specific treatment (if any), </w:t>
      </w:r>
      <w:r w:rsidR="008734DF">
        <w:t xml:space="preserve">change to immunosuppression (if any), </w:t>
      </w:r>
      <w:r w:rsidR="005F7124">
        <w:t xml:space="preserve">and outcome. </w:t>
      </w:r>
      <w:r w:rsidR="00D820AA">
        <w:t>The collaborative effect of c</w:t>
      </w:r>
      <w:r w:rsidR="00CF6CEF">
        <w:t>ollecting such data could at a later time allow our community to compile evidence beyond the anecdo</w:t>
      </w:r>
      <w:r w:rsidR="008203C0">
        <w:t>tal</w:t>
      </w:r>
      <w:r w:rsidR="00D820AA">
        <w:t>, to the benefit of future patients</w:t>
      </w:r>
      <w:r w:rsidR="00CF6CEF">
        <w:t xml:space="preserve">. The possibilities of presenting accumulated data in real time on the ISHLT website are currently </w:t>
      </w:r>
      <w:r w:rsidR="00C800DE">
        <w:t xml:space="preserve">being </w:t>
      </w:r>
      <w:r w:rsidR="00CF6CEF">
        <w:t xml:space="preserve">explored. </w:t>
      </w:r>
    </w:p>
    <w:p w14:paraId="00000041" w14:textId="77777777" w:rsidR="00375E67" w:rsidRDefault="00BA4302">
      <w:r>
        <w:t xml:space="preserve"> </w:t>
      </w:r>
    </w:p>
    <w:p w14:paraId="00000042" w14:textId="63D0E3B5" w:rsidR="00375E67" w:rsidRDefault="00BA4302" w:rsidP="001066CE">
      <w:r>
        <w:t xml:space="preserve">Additional guidance is also available from </w:t>
      </w:r>
      <w:r w:rsidR="00DA3BFD">
        <w:t xml:space="preserve">the </w:t>
      </w:r>
      <w:r w:rsidR="001066CE">
        <w:t xml:space="preserve">following resources: </w:t>
      </w:r>
    </w:p>
    <w:p w14:paraId="33CD57D2" w14:textId="5C8368A0" w:rsidR="00646F94" w:rsidRPr="001066CE" w:rsidRDefault="00BA4302" w:rsidP="00201ACB">
      <w:pPr>
        <w:ind w:left="360"/>
        <w:rPr>
          <w:color w:val="1155CC"/>
          <w:u w:val="single"/>
        </w:rPr>
      </w:pPr>
      <w:r>
        <w:t>WHO</w:t>
      </w:r>
      <w:r w:rsidR="00201ACB">
        <w:t xml:space="preserve"> SARS-CoV-2 dashboard </w:t>
      </w:r>
      <w:hyperlink r:id="rId9" w:history="1">
        <w:r w:rsidR="00A7679D" w:rsidRPr="002C031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https://experience.arcgis.com/experience/685d0ace521648f8a5beeeee1b9125cd</w:t>
        </w:r>
      </w:hyperlink>
    </w:p>
    <w:p w14:paraId="001F061A" w14:textId="77777777" w:rsidR="00646F94" w:rsidRPr="00646F94" w:rsidRDefault="00646F94">
      <w:pPr>
        <w:ind w:left="360"/>
        <w:rPr>
          <w:color w:val="1155CC"/>
          <w:u w:val="single"/>
          <w:lang w:val="en-GB"/>
        </w:rPr>
      </w:pPr>
    </w:p>
    <w:p w14:paraId="5299305F" w14:textId="77777777" w:rsidR="001066CE" w:rsidRDefault="00BA4302" w:rsidP="001066CE">
      <w:pPr>
        <w:ind w:left="360"/>
        <w:rPr>
          <w:color w:val="1155CC"/>
          <w:u w:val="single"/>
        </w:rPr>
      </w:pPr>
      <w:r>
        <w:t>CDC: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https://www.cdc.gov/coronavirus/2019-ncov/index.html</w:t>
        </w:r>
      </w:hyperlink>
    </w:p>
    <w:p w14:paraId="3C5EF732" w14:textId="77777777" w:rsidR="001066CE" w:rsidRDefault="001066CE" w:rsidP="001066CE">
      <w:pPr>
        <w:ind w:left="360"/>
        <w:rPr>
          <w:color w:val="1155CC"/>
          <w:u w:val="single"/>
        </w:rPr>
      </w:pPr>
    </w:p>
    <w:p w14:paraId="3AF6CFCE" w14:textId="32E9AA37" w:rsidR="00646F94" w:rsidRPr="001066CE" w:rsidRDefault="001066CE" w:rsidP="001066CE">
      <w:pPr>
        <w:ind w:left="360"/>
        <w:rPr>
          <w:color w:val="1155CC"/>
          <w:u w:val="single"/>
        </w:rPr>
      </w:pPr>
      <w:proofErr w:type="gramStart"/>
      <w:r w:rsidRPr="001066CE">
        <w:rPr>
          <w:color w:val="000000" w:themeColor="text1"/>
          <w:u w:val="single"/>
        </w:rPr>
        <w:t>ECDC</w:t>
      </w:r>
      <w:r>
        <w:rPr>
          <w:color w:val="1155CC"/>
          <w:u w:val="single"/>
        </w:rPr>
        <w:t xml:space="preserve"> </w:t>
      </w:r>
      <w:r w:rsidR="00646F94">
        <w:rPr>
          <w:color w:val="1155CC"/>
          <w:u w:val="single"/>
        </w:rPr>
        <w:t xml:space="preserve"> </w:t>
      </w:r>
      <w:proofErr w:type="gramEnd"/>
      <w:hyperlink r:id="rId12" w:history="1">
        <w:r w:rsidR="00646F94" w:rsidRPr="00646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https://www.ecdc.europa.eu/en/covid-19/all-reports-covid-19</w:t>
        </w:r>
      </w:hyperlink>
    </w:p>
    <w:p w14:paraId="285F0186" w14:textId="77777777" w:rsidR="00BA5750" w:rsidRPr="00BA5750" w:rsidRDefault="00BA5750" w:rsidP="00BA5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0000049" w14:textId="5626C029" w:rsidR="00375E67" w:rsidRDefault="00375E67"/>
    <w:p w14:paraId="27A6BA17" w14:textId="5E2E6378" w:rsidR="00B56462" w:rsidRDefault="00B56462">
      <w:r>
        <w:t xml:space="preserve">Contributors: </w:t>
      </w:r>
    </w:p>
    <w:p w14:paraId="34AAEDED" w14:textId="6C4AF083" w:rsidR="00B56462" w:rsidRDefault="00B56462">
      <w:r>
        <w:t xml:space="preserve">ID: </w:t>
      </w:r>
      <w:proofErr w:type="spellStart"/>
      <w:r>
        <w:t>Saima</w:t>
      </w:r>
      <w:proofErr w:type="spellEnd"/>
      <w:r>
        <w:t xml:space="preserve"> Aslam</w:t>
      </w:r>
      <w:r w:rsidR="00686A20">
        <w:t xml:space="preserve"> (Chair)</w:t>
      </w:r>
      <w:r>
        <w:t xml:space="preserve">, Lara </w:t>
      </w:r>
      <w:proofErr w:type="spellStart"/>
      <w:r>
        <w:t>Danziger-Izakov</w:t>
      </w:r>
      <w:proofErr w:type="spellEnd"/>
      <w:r>
        <w:t>, Me</w:t>
      </w:r>
      <w:r w:rsidR="002B7D25">
        <w:t>-L</w:t>
      </w:r>
      <w:r>
        <w:t xml:space="preserve">inh Luong, </w:t>
      </w:r>
      <w:proofErr w:type="spellStart"/>
      <w:r>
        <w:t>Shahid</w:t>
      </w:r>
      <w:proofErr w:type="spellEnd"/>
      <w:r>
        <w:t xml:space="preserve"> Husain, Fernanda </w:t>
      </w:r>
      <w:proofErr w:type="spellStart"/>
      <w:r>
        <w:t>Silveira</w:t>
      </w:r>
      <w:proofErr w:type="spellEnd"/>
      <w:r>
        <w:t xml:space="preserve">, Paolo </w:t>
      </w:r>
      <w:proofErr w:type="spellStart"/>
      <w:r>
        <w:t>Grossi</w:t>
      </w:r>
      <w:proofErr w:type="spellEnd"/>
    </w:p>
    <w:p w14:paraId="6E1B7FA9" w14:textId="1E29C39E" w:rsidR="00B56462" w:rsidRDefault="00B56462">
      <w:r>
        <w:t xml:space="preserve">Cardiology: Eric Adler, </w:t>
      </w:r>
      <w:r w:rsidR="005C7CCB" w:rsidRPr="005C7CCB">
        <w:t xml:space="preserve">Marta </w:t>
      </w:r>
      <w:proofErr w:type="spellStart"/>
      <w:r w:rsidR="005C7CCB" w:rsidRPr="005C7CCB">
        <w:t>Farrero</w:t>
      </w:r>
      <w:proofErr w:type="spellEnd"/>
      <w:r w:rsidR="005C7CCB">
        <w:t xml:space="preserve">, </w:t>
      </w:r>
      <w:r w:rsidR="005C7CCB" w:rsidRPr="005C7CCB">
        <w:t xml:space="preserve">Maria </w:t>
      </w:r>
      <w:proofErr w:type="spellStart"/>
      <w:r w:rsidR="005C7CCB" w:rsidRPr="005C7CCB">
        <w:t>Frigerio</w:t>
      </w:r>
      <w:proofErr w:type="spellEnd"/>
      <w:r w:rsidR="005C7CCB">
        <w:t xml:space="preserve">, </w:t>
      </w:r>
      <w:r w:rsidR="005C7CCB" w:rsidRPr="005C7CCB">
        <w:t xml:space="preserve">Enrico </w:t>
      </w:r>
      <w:proofErr w:type="spellStart"/>
      <w:r w:rsidR="005C7CCB" w:rsidRPr="005C7CCB">
        <w:t>Am</w:t>
      </w:r>
      <w:r w:rsidR="00EE042B">
        <w:t>mirati</w:t>
      </w:r>
      <w:proofErr w:type="spellEnd"/>
      <w:r w:rsidR="005C7CCB">
        <w:t xml:space="preserve">, Luciano </w:t>
      </w:r>
      <w:proofErr w:type="spellStart"/>
      <w:r w:rsidR="005C7CCB" w:rsidRPr="005C7CCB">
        <w:t>Potena</w:t>
      </w:r>
      <w:proofErr w:type="spellEnd"/>
      <w:r w:rsidR="005C7CCB">
        <w:t xml:space="preserve">, </w:t>
      </w:r>
      <w:proofErr w:type="spellStart"/>
      <w:r w:rsidR="005C7CCB">
        <w:t>Mandeep</w:t>
      </w:r>
      <w:proofErr w:type="spellEnd"/>
      <w:r w:rsidR="005C7CCB">
        <w:t xml:space="preserve"> Mehra</w:t>
      </w:r>
    </w:p>
    <w:p w14:paraId="2AB742D5" w14:textId="25C5F103" w:rsidR="005C7CCB" w:rsidRDefault="005C7CCB">
      <w:r>
        <w:t xml:space="preserve">Pulmonology: Are Holm, </w:t>
      </w:r>
      <w:proofErr w:type="spellStart"/>
      <w:r w:rsidRPr="005C7CCB">
        <w:t>Fredica</w:t>
      </w:r>
      <w:proofErr w:type="spellEnd"/>
      <w:r w:rsidRPr="005C7CCB">
        <w:t xml:space="preserve"> </w:t>
      </w:r>
      <w:proofErr w:type="spellStart"/>
      <w:r w:rsidRPr="005C7CCB">
        <w:t>Meloni</w:t>
      </w:r>
      <w:proofErr w:type="spellEnd"/>
      <w:r>
        <w:t xml:space="preserve">, </w:t>
      </w:r>
      <w:r w:rsidRPr="005C7CCB">
        <w:t>Lianne Singer</w:t>
      </w:r>
      <w:r>
        <w:t>, Erika Lease, Stuart Sweet</w:t>
      </w:r>
    </w:p>
    <w:p w14:paraId="113E8CFA" w14:textId="470F8921" w:rsidR="005C7CCB" w:rsidRDefault="005C7CCB">
      <w:r>
        <w:t xml:space="preserve">Cardiothoracic Surgery: </w:t>
      </w:r>
      <w:r w:rsidRPr="005C7CCB">
        <w:t xml:space="preserve">Stephan </w:t>
      </w:r>
      <w:proofErr w:type="spellStart"/>
      <w:r w:rsidRPr="005C7CCB">
        <w:t>Ensminger</w:t>
      </w:r>
      <w:proofErr w:type="spellEnd"/>
      <w:r>
        <w:t xml:space="preserve">, </w:t>
      </w:r>
      <w:r w:rsidRPr="005C7CCB">
        <w:t xml:space="preserve">Jan </w:t>
      </w:r>
      <w:proofErr w:type="spellStart"/>
      <w:r w:rsidRPr="005C7CCB">
        <w:t>Gummert</w:t>
      </w:r>
      <w:proofErr w:type="spellEnd"/>
      <w:r>
        <w:t xml:space="preserve">, </w:t>
      </w:r>
      <w:r w:rsidRPr="005C7CCB">
        <w:t xml:space="preserve">Marcelo </w:t>
      </w:r>
      <w:proofErr w:type="spellStart"/>
      <w:r w:rsidRPr="005C7CCB">
        <w:t>Cypel</w:t>
      </w:r>
      <w:proofErr w:type="spellEnd"/>
    </w:p>
    <w:p w14:paraId="3A0C95C6" w14:textId="1E0EC0C0" w:rsidR="005C7CCB" w:rsidRDefault="005C7CCB">
      <w:r>
        <w:t>Pharmacy: Mike Shullo</w:t>
      </w:r>
    </w:p>
    <w:p w14:paraId="370549B6" w14:textId="59CD1EB7" w:rsidR="00CE5FF6" w:rsidRDefault="00CE5FF6">
      <w:r>
        <w:t>External Re</w:t>
      </w:r>
      <w:bookmarkStart w:id="0" w:name="_GoBack"/>
      <w:bookmarkEnd w:id="0"/>
      <w:r>
        <w:t xml:space="preserve">viewer: Michael </w:t>
      </w:r>
      <w:proofErr w:type="spellStart"/>
      <w:r>
        <w:t>Ison</w:t>
      </w:r>
      <w:proofErr w:type="spellEnd"/>
    </w:p>
    <w:sectPr w:rsidR="00CE5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698"/>
    <w:multiLevelType w:val="hybridMultilevel"/>
    <w:tmpl w:val="C360D958"/>
    <w:lvl w:ilvl="0" w:tplc="E5989F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431E31"/>
    <w:multiLevelType w:val="hybridMultilevel"/>
    <w:tmpl w:val="9C526A30"/>
    <w:lvl w:ilvl="0" w:tplc="42483BE2">
      <w:start w:val="2"/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92A69"/>
    <w:multiLevelType w:val="hybridMultilevel"/>
    <w:tmpl w:val="562C60DA"/>
    <w:lvl w:ilvl="0" w:tplc="E7C4E518">
      <w:start w:val="1"/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3E14A7"/>
    <w:multiLevelType w:val="hybridMultilevel"/>
    <w:tmpl w:val="6056218C"/>
    <w:lvl w:ilvl="0" w:tplc="88F6CB22">
      <w:start w:val="2"/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004E7A"/>
    <w:multiLevelType w:val="hybridMultilevel"/>
    <w:tmpl w:val="BC409B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9F281C"/>
    <w:multiLevelType w:val="hybridMultilevel"/>
    <w:tmpl w:val="28E89B10"/>
    <w:lvl w:ilvl="0" w:tplc="1A685054">
      <w:start w:val="1"/>
      <w:numFmt w:val="bullet"/>
      <w:lvlText w:val=""/>
      <w:lvlJc w:val="left"/>
      <w:pPr>
        <w:ind w:left="25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A82685"/>
    <w:multiLevelType w:val="hybridMultilevel"/>
    <w:tmpl w:val="E3888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57493"/>
    <w:multiLevelType w:val="hybridMultilevel"/>
    <w:tmpl w:val="1C74FA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F76E8B"/>
    <w:multiLevelType w:val="hybridMultilevel"/>
    <w:tmpl w:val="2C3A0A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E05970"/>
    <w:multiLevelType w:val="hybridMultilevel"/>
    <w:tmpl w:val="E0E680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D95221"/>
    <w:multiLevelType w:val="hybridMultilevel"/>
    <w:tmpl w:val="2444D0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60166FE"/>
    <w:multiLevelType w:val="hybridMultilevel"/>
    <w:tmpl w:val="58FADE0E"/>
    <w:lvl w:ilvl="0" w:tplc="5B6A8B94">
      <w:start w:val="4"/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7"/>
    <w:rsid w:val="000323D4"/>
    <w:rsid w:val="00075C08"/>
    <w:rsid w:val="00094761"/>
    <w:rsid w:val="000D0AF0"/>
    <w:rsid w:val="000F6ED4"/>
    <w:rsid w:val="00102251"/>
    <w:rsid w:val="001066CE"/>
    <w:rsid w:val="001525D3"/>
    <w:rsid w:val="00184EFD"/>
    <w:rsid w:val="001C54B3"/>
    <w:rsid w:val="001F1F82"/>
    <w:rsid w:val="00201ACB"/>
    <w:rsid w:val="00261A16"/>
    <w:rsid w:val="002B7D25"/>
    <w:rsid w:val="00354C58"/>
    <w:rsid w:val="0036014C"/>
    <w:rsid w:val="00375B41"/>
    <w:rsid w:val="00375E67"/>
    <w:rsid w:val="00381970"/>
    <w:rsid w:val="00390B0A"/>
    <w:rsid w:val="003C7561"/>
    <w:rsid w:val="003F023C"/>
    <w:rsid w:val="004049B3"/>
    <w:rsid w:val="00433AFC"/>
    <w:rsid w:val="004B1573"/>
    <w:rsid w:val="004B7B23"/>
    <w:rsid w:val="004D0BCF"/>
    <w:rsid w:val="004F567D"/>
    <w:rsid w:val="0056324A"/>
    <w:rsid w:val="005A02A9"/>
    <w:rsid w:val="005A407C"/>
    <w:rsid w:val="005A5532"/>
    <w:rsid w:val="005B4596"/>
    <w:rsid w:val="005C22C4"/>
    <w:rsid w:val="005C7CCB"/>
    <w:rsid w:val="005E3EC2"/>
    <w:rsid w:val="005E5316"/>
    <w:rsid w:val="005F7124"/>
    <w:rsid w:val="00603D5A"/>
    <w:rsid w:val="00646F94"/>
    <w:rsid w:val="00686A20"/>
    <w:rsid w:val="006911A9"/>
    <w:rsid w:val="00696FE3"/>
    <w:rsid w:val="006D3766"/>
    <w:rsid w:val="006F4BB9"/>
    <w:rsid w:val="00722764"/>
    <w:rsid w:val="007739A3"/>
    <w:rsid w:val="00786B89"/>
    <w:rsid w:val="007A39C3"/>
    <w:rsid w:val="007B54DF"/>
    <w:rsid w:val="007B7716"/>
    <w:rsid w:val="007E073C"/>
    <w:rsid w:val="007F5481"/>
    <w:rsid w:val="008203C0"/>
    <w:rsid w:val="00824E4E"/>
    <w:rsid w:val="008321DE"/>
    <w:rsid w:val="00836781"/>
    <w:rsid w:val="0086627A"/>
    <w:rsid w:val="008734DF"/>
    <w:rsid w:val="008906A9"/>
    <w:rsid w:val="008F59C2"/>
    <w:rsid w:val="00912D30"/>
    <w:rsid w:val="009773D8"/>
    <w:rsid w:val="009919D3"/>
    <w:rsid w:val="009D4239"/>
    <w:rsid w:val="009F0FF8"/>
    <w:rsid w:val="00A41140"/>
    <w:rsid w:val="00A52DFA"/>
    <w:rsid w:val="00A7679D"/>
    <w:rsid w:val="00A839C7"/>
    <w:rsid w:val="00AD10F3"/>
    <w:rsid w:val="00B17402"/>
    <w:rsid w:val="00B214C9"/>
    <w:rsid w:val="00B56462"/>
    <w:rsid w:val="00B564C1"/>
    <w:rsid w:val="00B7056B"/>
    <w:rsid w:val="00BA4302"/>
    <w:rsid w:val="00BA5750"/>
    <w:rsid w:val="00BF1714"/>
    <w:rsid w:val="00C0181D"/>
    <w:rsid w:val="00C22080"/>
    <w:rsid w:val="00C308CF"/>
    <w:rsid w:val="00C61EB6"/>
    <w:rsid w:val="00C709C6"/>
    <w:rsid w:val="00C800DE"/>
    <w:rsid w:val="00C977F7"/>
    <w:rsid w:val="00CB4321"/>
    <w:rsid w:val="00CB50E9"/>
    <w:rsid w:val="00CC73FB"/>
    <w:rsid w:val="00CE5FF6"/>
    <w:rsid w:val="00CF6CEF"/>
    <w:rsid w:val="00D376D9"/>
    <w:rsid w:val="00D820AA"/>
    <w:rsid w:val="00DA207B"/>
    <w:rsid w:val="00DA3BFD"/>
    <w:rsid w:val="00DB67D9"/>
    <w:rsid w:val="00DE7430"/>
    <w:rsid w:val="00DF3C45"/>
    <w:rsid w:val="00E00EEF"/>
    <w:rsid w:val="00E3453C"/>
    <w:rsid w:val="00E420F3"/>
    <w:rsid w:val="00EB6DC6"/>
    <w:rsid w:val="00EE042B"/>
    <w:rsid w:val="00EE7C24"/>
    <w:rsid w:val="00F010A9"/>
    <w:rsid w:val="00F35947"/>
    <w:rsid w:val="00F741B5"/>
    <w:rsid w:val="00FA5C7A"/>
    <w:rsid w:val="00FC297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46F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9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3D8"/>
    <w:pPr>
      <w:ind w:left="720"/>
      <w:contextualSpacing/>
    </w:pPr>
  </w:style>
  <w:style w:type="paragraph" w:styleId="Revision">
    <w:name w:val="Revision"/>
    <w:hidden/>
    <w:uiPriority w:val="99"/>
    <w:semiHidden/>
    <w:rsid w:val="004049B3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rsid w:val="00106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46F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9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3D8"/>
    <w:pPr>
      <w:ind w:left="720"/>
      <w:contextualSpacing/>
    </w:pPr>
  </w:style>
  <w:style w:type="paragraph" w:styleId="Revision">
    <w:name w:val="Revision"/>
    <w:hidden/>
    <w:uiPriority w:val="99"/>
    <w:semiHidden/>
    <w:rsid w:val="004049B3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rsid w:val="00106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trialsearch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s.who.int/trialsearch/default.aspx" TargetMode="External"/><Relationship Id="rId12" Type="http://schemas.openxmlformats.org/officeDocument/2006/relationships/hyperlink" Target="https://www.ecdc.europa.eu/en/covid-19/all-reports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2019-ncov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perience.arcgis.com/experience/685d0ace521648f8a5beeeee1b9125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439D-FB1F-4285-AEF1-D27EE52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9174</Characters>
  <Application>Microsoft Office Word</Application>
  <DocSecurity>4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Papworth Hospital NHS Foundation Trust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Schultz</dc:creator>
  <cp:lastModifiedBy>Lewis Clive</cp:lastModifiedBy>
  <cp:revision>2</cp:revision>
  <cp:lastPrinted>2020-03-17T08:28:00Z</cp:lastPrinted>
  <dcterms:created xsi:type="dcterms:W3CDTF">2020-03-17T09:44:00Z</dcterms:created>
  <dcterms:modified xsi:type="dcterms:W3CDTF">2020-03-17T09:44:00Z</dcterms:modified>
</cp:coreProperties>
</file>